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8FB57"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both"/>
        <w:rPr>
          <w:rFonts w:eastAsia="Times New Roman" w:cstheme="minorHAnsi"/>
          <w:sz w:val="24"/>
          <w:szCs w:val="24"/>
          <w:lang w:eastAsia="it-IT"/>
        </w:rPr>
      </w:pPr>
    </w:p>
    <w:p w14:paraId="2BFF13F2"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r w:rsidRPr="005179D8">
        <w:rPr>
          <w:rFonts w:eastAsia="Times New Roman" w:cstheme="minorHAnsi"/>
          <w:noProof/>
          <w:color w:val="0000FF"/>
          <w:sz w:val="24"/>
          <w:szCs w:val="24"/>
          <w:lang w:eastAsia="it-IT"/>
        </w:rPr>
        <w:drawing>
          <wp:inline distT="0" distB="0" distL="0" distR="0" wp14:anchorId="5B3B9782" wp14:editId="18302FEB">
            <wp:extent cx="953135" cy="637540"/>
            <wp:effectExtent l="0" t="0" r="0" b="0"/>
            <wp:docPr id="1" name="Immagine 1" descr="Flag of Europ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 of Europe.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637540"/>
                    </a:xfrm>
                    <a:prstGeom prst="rect">
                      <a:avLst/>
                    </a:prstGeom>
                    <a:noFill/>
                    <a:ln>
                      <a:noFill/>
                    </a:ln>
                  </pic:spPr>
                </pic:pic>
              </a:graphicData>
            </a:graphic>
          </wp:inline>
        </w:drawing>
      </w:r>
      <w:r w:rsidRPr="005179D8">
        <w:rPr>
          <w:rFonts w:eastAsia="Times New Roman" w:cstheme="minorHAnsi"/>
          <w:noProof/>
          <w:sz w:val="24"/>
          <w:szCs w:val="24"/>
          <w:lang w:eastAsia="it-IT"/>
        </w:rPr>
        <w:drawing>
          <wp:inline distT="0" distB="0" distL="0" distR="0" wp14:anchorId="0BAB0E1C" wp14:editId="3C490371">
            <wp:extent cx="579755" cy="637540"/>
            <wp:effectExtent l="0" t="0" r="0" b="0"/>
            <wp:docPr id="2"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 itali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 cy="637540"/>
                    </a:xfrm>
                    <a:prstGeom prst="rect">
                      <a:avLst/>
                    </a:prstGeom>
                    <a:noFill/>
                    <a:ln>
                      <a:noFill/>
                    </a:ln>
                  </pic:spPr>
                </pic:pic>
              </a:graphicData>
            </a:graphic>
          </wp:inline>
        </w:drawing>
      </w:r>
      <w:r w:rsidRPr="005179D8">
        <w:rPr>
          <w:rFonts w:eastAsia="Times New Roman" w:cstheme="minorHAnsi"/>
          <w:noProof/>
          <w:sz w:val="24"/>
          <w:szCs w:val="24"/>
          <w:lang w:eastAsia="it-IT"/>
        </w:rPr>
        <w:drawing>
          <wp:inline distT="0" distB="0" distL="0" distR="0" wp14:anchorId="5815D387" wp14:editId="5860B4D6">
            <wp:extent cx="746760" cy="772795"/>
            <wp:effectExtent l="0" t="0" r="0" b="8255"/>
            <wp:docPr id="7" name="Immagine 7"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cu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760" cy="772795"/>
                    </a:xfrm>
                    <a:prstGeom prst="rect">
                      <a:avLst/>
                    </a:prstGeom>
                    <a:noFill/>
                    <a:ln>
                      <a:noFill/>
                    </a:ln>
                  </pic:spPr>
                </pic:pic>
              </a:graphicData>
            </a:graphic>
          </wp:inline>
        </w:drawing>
      </w:r>
    </w:p>
    <w:p w14:paraId="73ACEE7F"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r w:rsidRPr="005179D8">
        <w:rPr>
          <w:rFonts w:eastAsia="Times New Roman" w:cstheme="minorHAnsi"/>
          <w:sz w:val="24"/>
          <w:szCs w:val="24"/>
          <w:lang w:eastAsia="it-IT"/>
        </w:rPr>
        <w:t>Ministero dell’Istruzione, dell’Università e della Ricerca</w:t>
      </w:r>
    </w:p>
    <w:p w14:paraId="4C467832"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b/>
          <w:sz w:val="24"/>
          <w:szCs w:val="24"/>
          <w:lang w:eastAsia="it-IT"/>
        </w:rPr>
      </w:pPr>
      <w:r w:rsidRPr="005179D8">
        <w:rPr>
          <w:rFonts w:eastAsia="Times New Roman" w:cstheme="minorHAnsi"/>
          <w:b/>
          <w:sz w:val="24"/>
          <w:szCs w:val="24"/>
          <w:lang w:eastAsia="it-IT"/>
        </w:rPr>
        <w:t>LICEO STATALE “</w:t>
      </w:r>
      <w:proofErr w:type="gramStart"/>
      <w:r w:rsidRPr="005179D8">
        <w:rPr>
          <w:rFonts w:eastAsia="Times New Roman" w:cstheme="minorHAnsi"/>
          <w:b/>
          <w:sz w:val="24"/>
          <w:szCs w:val="24"/>
          <w:lang w:eastAsia="it-IT"/>
        </w:rPr>
        <w:t>ALFONSO  GATTO</w:t>
      </w:r>
      <w:proofErr w:type="gramEnd"/>
      <w:r w:rsidRPr="005179D8">
        <w:rPr>
          <w:rFonts w:eastAsia="Times New Roman" w:cstheme="minorHAnsi"/>
          <w:b/>
          <w:sz w:val="24"/>
          <w:szCs w:val="24"/>
          <w:lang w:eastAsia="it-IT"/>
        </w:rPr>
        <w:t>”- AGROPOLI – SA</w:t>
      </w:r>
    </w:p>
    <w:p w14:paraId="467DEBF5"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u w:val="double"/>
          <w:lang w:eastAsia="it-IT"/>
        </w:rPr>
      </w:pPr>
      <w:r w:rsidRPr="005179D8">
        <w:rPr>
          <w:rFonts w:eastAsia="Times New Roman" w:cstheme="minorHAnsi"/>
          <w:sz w:val="24"/>
          <w:szCs w:val="24"/>
          <w:u w:val="double"/>
          <w:lang w:eastAsia="it-IT"/>
        </w:rPr>
        <w:t>SCIENTIFICO - SCIENZE APPLICATE- LINGUISTICO- MUSICALE – CLASSICO</w:t>
      </w:r>
    </w:p>
    <w:p w14:paraId="67D1EF04"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p>
    <w:p w14:paraId="7BCB648F"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r w:rsidRPr="005179D8">
        <w:rPr>
          <w:rFonts w:eastAsia="Times New Roman" w:cstheme="minorHAnsi"/>
          <w:sz w:val="24"/>
          <w:szCs w:val="24"/>
          <w:lang w:eastAsia="it-IT"/>
        </w:rPr>
        <w:t xml:space="preserve">Sede – LICEO SCIENTIFICO –LINGUISTICO: Via Dante Alighieri </w:t>
      </w:r>
      <w:proofErr w:type="gramStart"/>
      <w:r w:rsidRPr="005179D8">
        <w:rPr>
          <w:rFonts w:eastAsia="Times New Roman" w:cstheme="minorHAnsi"/>
          <w:sz w:val="24"/>
          <w:szCs w:val="24"/>
          <w:lang w:eastAsia="it-IT"/>
        </w:rPr>
        <w:t>-  tel.</w:t>
      </w:r>
      <w:proofErr w:type="gramEnd"/>
      <w:r w:rsidRPr="005179D8">
        <w:rPr>
          <w:rFonts w:eastAsia="Times New Roman" w:cstheme="minorHAnsi"/>
          <w:sz w:val="24"/>
          <w:szCs w:val="24"/>
          <w:lang w:eastAsia="it-IT"/>
        </w:rPr>
        <w:t xml:space="preserve"> 0974/822399  fax 0974/827982</w:t>
      </w:r>
    </w:p>
    <w:p w14:paraId="44DDC8AC"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r w:rsidRPr="005179D8">
        <w:rPr>
          <w:rFonts w:eastAsia="Times New Roman" w:cstheme="minorHAnsi"/>
          <w:sz w:val="24"/>
          <w:szCs w:val="24"/>
          <w:lang w:eastAsia="it-IT"/>
        </w:rPr>
        <w:t>Sede associata – LICEO CLASSICO - MUSICALE</w:t>
      </w:r>
      <w:r w:rsidRPr="005179D8">
        <w:rPr>
          <w:rFonts w:eastAsia="Times New Roman" w:cstheme="minorHAnsi"/>
          <w:b/>
          <w:sz w:val="24"/>
          <w:szCs w:val="24"/>
          <w:lang w:eastAsia="it-IT"/>
        </w:rPr>
        <w:t xml:space="preserve">: </w:t>
      </w:r>
      <w:r w:rsidRPr="005179D8">
        <w:rPr>
          <w:rFonts w:eastAsia="Times New Roman" w:cstheme="minorHAnsi"/>
          <w:sz w:val="24"/>
          <w:szCs w:val="24"/>
          <w:lang w:eastAsia="it-IT"/>
        </w:rPr>
        <w:t xml:space="preserve">Via S. Pio X </w:t>
      </w:r>
      <w:proofErr w:type="gramStart"/>
      <w:r w:rsidRPr="005179D8">
        <w:rPr>
          <w:rFonts w:eastAsia="Times New Roman" w:cstheme="minorHAnsi"/>
          <w:sz w:val="24"/>
          <w:szCs w:val="24"/>
          <w:lang w:eastAsia="it-IT"/>
        </w:rPr>
        <w:t>-  tel.</w:t>
      </w:r>
      <w:proofErr w:type="gramEnd"/>
      <w:r w:rsidRPr="005179D8">
        <w:rPr>
          <w:rFonts w:eastAsia="Times New Roman" w:cstheme="minorHAnsi"/>
          <w:sz w:val="24"/>
          <w:szCs w:val="24"/>
          <w:lang w:eastAsia="it-IT"/>
        </w:rPr>
        <w:t>/fax 0974/823212</w:t>
      </w:r>
    </w:p>
    <w:p w14:paraId="0B6838BE" w14:textId="77777777" w:rsidR="002C514B" w:rsidRPr="005179D8" w:rsidRDefault="002C514B"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val="en-GB" w:eastAsia="it-IT"/>
        </w:rPr>
      </w:pPr>
      <w:proofErr w:type="spellStart"/>
      <w:r w:rsidRPr="005179D8">
        <w:rPr>
          <w:rFonts w:eastAsia="Times New Roman" w:cstheme="minorHAnsi"/>
          <w:sz w:val="24"/>
          <w:szCs w:val="24"/>
          <w:lang w:val="en-GB" w:eastAsia="it-IT"/>
        </w:rPr>
        <w:t>Sito</w:t>
      </w:r>
      <w:proofErr w:type="spellEnd"/>
      <w:r w:rsidRPr="005179D8">
        <w:rPr>
          <w:rFonts w:eastAsia="Times New Roman" w:cstheme="minorHAnsi"/>
          <w:sz w:val="24"/>
          <w:szCs w:val="24"/>
          <w:lang w:val="en-GB" w:eastAsia="it-IT"/>
        </w:rPr>
        <w:t xml:space="preserve"> web: </w:t>
      </w:r>
      <w:hyperlink r:id="rId12" w:history="1">
        <w:r w:rsidRPr="005179D8">
          <w:rPr>
            <w:rFonts w:eastAsia="Times New Roman" w:cstheme="minorHAnsi"/>
            <w:color w:val="0000FF"/>
            <w:sz w:val="24"/>
            <w:szCs w:val="24"/>
            <w:u w:val="single"/>
            <w:lang w:val="en-GB" w:eastAsia="it-IT"/>
          </w:rPr>
          <w:t>www.liceogatto.it</w:t>
        </w:r>
      </w:hyperlink>
      <w:r w:rsidRPr="005179D8">
        <w:rPr>
          <w:rFonts w:eastAsia="Times New Roman" w:cstheme="minorHAnsi"/>
          <w:sz w:val="24"/>
          <w:szCs w:val="24"/>
          <w:lang w:val="en-GB" w:eastAsia="it-IT"/>
        </w:rPr>
        <w:t xml:space="preserve"> – email: saps11000c@istruzione.it - </w:t>
      </w:r>
      <w:r w:rsidRPr="005179D8">
        <w:rPr>
          <w:rFonts w:eastAsia="Times New Roman" w:cstheme="minorHAnsi"/>
          <w:sz w:val="24"/>
          <w:szCs w:val="24"/>
          <w:u w:val="single"/>
          <w:lang w:val="en-GB" w:eastAsia="it-IT"/>
        </w:rPr>
        <w:t>dirigente@liceogatto.it</w:t>
      </w:r>
    </w:p>
    <w:p w14:paraId="385584BA" w14:textId="77777777" w:rsidR="002C514B" w:rsidRPr="005179D8" w:rsidRDefault="00E70AE2" w:rsidP="005179D8">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76" w:lineRule="auto"/>
        <w:jc w:val="center"/>
        <w:rPr>
          <w:rFonts w:eastAsia="Times New Roman" w:cstheme="minorHAnsi"/>
          <w:sz w:val="24"/>
          <w:szCs w:val="24"/>
          <w:lang w:eastAsia="it-IT"/>
        </w:rPr>
      </w:pPr>
      <w:r w:rsidRPr="005179D8">
        <w:rPr>
          <w:rFonts w:eastAsia="Times New Roman" w:cstheme="minorHAnsi"/>
          <w:sz w:val="24"/>
          <w:szCs w:val="24"/>
          <w:lang w:eastAsia="it-IT"/>
        </w:rPr>
        <w:t>C.F.</w:t>
      </w:r>
      <w:r w:rsidR="002C514B" w:rsidRPr="005179D8">
        <w:rPr>
          <w:rFonts w:eastAsia="Times New Roman" w:cstheme="minorHAnsi"/>
          <w:sz w:val="24"/>
          <w:szCs w:val="24"/>
          <w:lang w:eastAsia="it-IT"/>
        </w:rPr>
        <w:t xml:space="preserve"> </w:t>
      </w:r>
      <w:proofErr w:type="gramStart"/>
      <w:r w:rsidR="002C514B" w:rsidRPr="005179D8">
        <w:rPr>
          <w:rFonts w:eastAsia="Times New Roman" w:cstheme="minorHAnsi"/>
          <w:sz w:val="24"/>
          <w:szCs w:val="24"/>
          <w:lang w:eastAsia="it-IT"/>
        </w:rPr>
        <w:t>81001630656  -</w:t>
      </w:r>
      <w:proofErr w:type="gramEnd"/>
      <w:r w:rsidR="002C514B" w:rsidRPr="005179D8">
        <w:rPr>
          <w:rFonts w:eastAsia="Times New Roman" w:cstheme="minorHAnsi"/>
          <w:sz w:val="24"/>
          <w:szCs w:val="24"/>
          <w:lang w:eastAsia="it-IT"/>
        </w:rPr>
        <w:t xml:space="preserve">  codice fatturazione UF5NBR- : PEC: SAPS11000C@PEC.ISTRUZIONE.IT</w:t>
      </w:r>
    </w:p>
    <w:p w14:paraId="246A8B4C" w14:textId="77777777" w:rsidR="00F34ED4" w:rsidRDefault="00F34ED4" w:rsidP="00F34ED4">
      <w:pPr>
        <w:spacing w:after="0" w:line="276" w:lineRule="auto"/>
        <w:jc w:val="center"/>
        <w:rPr>
          <w:rFonts w:eastAsia="Times New Roman" w:cstheme="minorHAnsi"/>
          <w:color w:val="333333"/>
          <w:sz w:val="24"/>
          <w:szCs w:val="24"/>
          <w:lang w:eastAsia="it-IT"/>
        </w:rPr>
      </w:pPr>
    </w:p>
    <w:p w14:paraId="43D193C9" w14:textId="2AE81496" w:rsidR="00E70AE2" w:rsidRDefault="00F34ED4" w:rsidP="00F34ED4">
      <w:pPr>
        <w:spacing w:after="0" w:line="276" w:lineRule="auto"/>
        <w:jc w:val="center"/>
        <w:rPr>
          <w:rFonts w:eastAsia="Times New Roman" w:cstheme="minorHAnsi"/>
          <w:color w:val="333333"/>
          <w:sz w:val="24"/>
          <w:szCs w:val="24"/>
          <w:lang w:eastAsia="it-IT"/>
        </w:rPr>
      </w:pPr>
      <w:r>
        <w:rPr>
          <w:rFonts w:eastAsia="Times New Roman" w:cstheme="minorHAnsi"/>
          <w:color w:val="333333"/>
          <w:sz w:val="24"/>
          <w:szCs w:val="24"/>
          <w:lang w:eastAsia="it-IT"/>
        </w:rPr>
        <w:t>Circolare n. 321</w:t>
      </w:r>
    </w:p>
    <w:p w14:paraId="0FBEEF1E" w14:textId="7A5ECA37" w:rsidR="00F34ED4" w:rsidRPr="005179D8" w:rsidRDefault="00F34ED4" w:rsidP="00E07CB6">
      <w:pPr>
        <w:spacing w:after="0" w:line="276" w:lineRule="auto"/>
        <w:jc w:val="center"/>
        <w:rPr>
          <w:rFonts w:eastAsia="Times New Roman" w:cstheme="minorHAnsi"/>
          <w:color w:val="333333"/>
          <w:sz w:val="24"/>
          <w:szCs w:val="24"/>
          <w:lang w:eastAsia="it-IT"/>
        </w:rPr>
      </w:pPr>
      <w:r>
        <w:rPr>
          <w:rFonts w:eastAsia="Times New Roman" w:cstheme="minorHAnsi"/>
          <w:color w:val="333333"/>
          <w:sz w:val="24"/>
          <w:szCs w:val="24"/>
          <w:lang w:eastAsia="it-IT"/>
        </w:rPr>
        <w:t>Prot.</w:t>
      </w:r>
      <w:r w:rsidR="00E07CB6">
        <w:rPr>
          <w:rFonts w:eastAsia="Times New Roman" w:cstheme="minorHAnsi"/>
          <w:color w:val="333333"/>
          <w:sz w:val="24"/>
          <w:szCs w:val="24"/>
          <w:lang w:eastAsia="it-IT"/>
        </w:rPr>
        <w:t xml:space="preserve"> </w:t>
      </w:r>
      <w:r>
        <w:rPr>
          <w:rFonts w:eastAsia="Times New Roman" w:cstheme="minorHAnsi"/>
          <w:color w:val="333333"/>
          <w:sz w:val="24"/>
          <w:szCs w:val="24"/>
          <w:lang w:eastAsia="it-IT"/>
        </w:rPr>
        <w:t>n. 3335/04/01                          Agropoli, 22 maggio 2020</w:t>
      </w:r>
    </w:p>
    <w:p w14:paraId="5A1F530B" w14:textId="77777777" w:rsidR="007527EB" w:rsidRPr="005179D8" w:rsidRDefault="00E70AE2" w:rsidP="005179D8">
      <w:pPr>
        <w:spacing w:after="0" w:line="276" w:lineRule="auto"/>
        <w:jc w:val="both"/>
        <w:rPr>
          <w:rFonts w:eastAsia="Times New Roman" w:cstheme="minorHAnsi"/>
          <w:b/>
          <w:color w:val="333333"/>
          <w:sz w:val="24"/>
          <w:szCs w:val="24"/>
          <w:lang w:eastAsia="it-IT"/>
        </w:rPr>
      </w:pPr>
      <w:r w:rsidRPr="005179D8">
        <w:rPr>
          <w:rFonts w:eastAsia="Times New Roman" w:cstheme="minorHAnsi"/>
          <w:color w:val="333333"/>
          <w:sz w:val="24"/>
          <w:szCs w:val="24"/>
          <w:lang w:eastAsia="it-IT"/>
        </w:rPr>
        <w:tab/>
      </w:r>
      <w:r w:rsidRPr="005179D8">
        <w:rPr>
          <w:rFonts w:eastAsia="Times New Roman" w:cstheme="minorHAnsi"/>
          <w:color w:val="333333"/>
          <w:sz w:val="24"/>
          <w:szCs w:val="24"/>
          <w:lang w:eastAsia="it-IT"/>
        </w:rPr>
        <w:tab/>
      </w:r>
      <w:r w:rsidRPr="005179D8">
        <w:rPr>
          <w:rFonts w:eastAsia="Times New Roman" w:cstheme="minorHAnsi"/>
          <w:color w:val="333333"/>
          <w:sz w:val="24"/>
          <w:szCs w:val="24"/>
          <w:lang w:eastAsia="it-IT"/>
        </w:rPr>
        <w:tab/>
      </w:r>
    </w:p>
    <w:p w14:paraId="7EC1C2B4" w14:textId="0919D6F2" w:rsidR="00BE7590" w:rsidRPr="00E07CB6" w:rsidRDefault="00C677C5" w:rsidP="00E07C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76" w:lineRule="auto"/>
        <w:jc w:val="right"/>
        <w:rPr>
          <w:rFonts w:cstheme="minorHAnsi"/>
          <w:iCs/>
          <w:color w:val="000000"/>
          <w:sz w:val="24"/>
          <w:szCs w:val="24"/>
        </w:rPr>
      </w:pPr>
      <w:r w:rsidRPr="00E07CB6">
        <w:rPr>
          <w:rFonts w:cstheme="minorHAnsi"/>
          <w:iCs/>
          <w:color w:val="000000"/>
          <w:sz w:val="24"/>
          <w:szCs w:val="24"/>
        </w:rPr>
        <w:t>Al personale docente</w:t>
      </w:r>
    </w:p>
    <w:p w14:paraId="3A086860" w14:textId="218086C9" w:rsidR="002A0B3C" w:rsidRPr="00E07CB6" w:rsidRDefault="002A0B3C" w:rsidP="00E07C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76" w:lineRule="auto"/>
        <w:jc w:val="right"/>
        <w:rPr>
          <w:rFonts w:cstheme="minorHAnsi"/>
          <w:iCs/>
          <w:color w:val="000000"/>
          <w:sz w:val="24"/>
          <w:szCs w:val="24"/>
        </w:rPr>
      </w:pPr>
      <w:r w:rsidRPr="00E07CB6">
        <w:rPr>
          <w:rFonts w:cstheme="minorHAnsi"/>
          <w:iCs/>
          <w:color w:val="000000"/>
          <w:sz w:val="24"/>
          <w:szCs w:val="24"/>
        </w:rPr>
        <w:t>Al DSGA</w:t>
      </w:r>
    </w:p>
    <w:p w14:paraId="6F98F8F3" w14:textId="2388C6FC" w:rsidR="00217EEF" w:rsidRPr="00E07CB6" w:rsidRDefault="00217EEF" w:rsidP="00E07C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76" w:lineRule="auto"/>
        <w:jc w:val="right"/>
        <w:rPr>
          <w:rFonts w:cstheme="minorHAnsi"/>
          <w:iCs/>
          <w:color w:val="000000"/>
          <w:sz w:val="24"/>
          <w:szCs w:val="24"/>
        </w:rPr>
      </w:pPr>
      <w:r w:rsidRPr="00E07CB6">
        <w:rPr>
          <w:rFonts w:cstheme="minorHAnsi"/>
          <w:iCs/>
          <w:color w:val="000000"/>
          <w:sz w:val="24"/>
          <w:szCs w:val="24"/>
        </w:rPr>
        <w:t>All’Albo</w:t>
      </w:r>
    </w:p>
    <w:p w14:paraId="5A936675" w14:textId="77777777" w:rsidR="009562A4" w:rsidRDefault="009562A4" w:rsidP="00517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76" w:lineRule="auto"/>
        <w:jc w:val="both"/>
        <w:rPr>
          <w:rFonts w:cstheme="minorHAnsi"/>
          <w:b/>
          <w:bCs/>
          <w:iCs/>
          <w:color w:val="000000"/>
          <w:sz w:val="24"/>
          <w:szCs w:val="24"/>
        </w:rPr>
      </w:pPr>
    </w:p>
    <w:p w14:paraId="63CE6ACC" w14:textId="5146719C" w:rsidR="00BE7590" w:rsidRPr="005179D8" w:rsidRDefault="009562A4" w:rsidP="005179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line="276" w:lineRule="auto"/>
        <w:jc w:val="both"/>
        <w:rPr>
          <w:rFonts w:cstheme="minorHAnsi"/>
          <w:b/>
          <w:bCs/>
          <w:iCs/>
          <w:color w:val="000000"/>
          <w:sz w:val="24"/>
          <w:szCs w:val="24"/>
        </w:rPr>
      </w:pPr>
      <w:r>
        <w:rPr>
          <w:rFonts w:cstheme="minorHAnsi"/>
          <w:b/>
          <w:bCs/>
          <w:iCs/>
          <w:color w:val="000000"/>
          <w:sz w:val="24"/>
          <w:szCs w:val="24"/>
        </w:rPr>
        <w:t xml:space="preserve">Oggetto: </w:t>
      </w:r>
      <w:r w:rsidR="00E07CB6">
        <w:rPr>
          <w:rFonts w:cstheme="minorHAnsi"/>
          <w:bCs/>
          <w:iCs/>
          <w:color w:val="000000"/>
          <w:sz w:val="24"/>
          <w:szCs w:val="24"/>
        </w:rPr>
        <w:t>E</w:t>
      </w:r>
      <w:r w:rsidRPr="002A0B3C">
        <w:rPr>
          <w:rFonts w:cstheme="minorHAnsi"/>
          <w:bCs/>
          <w:iCs/>
          <w:color w:val="000000"/>
          <w:sz w:val="24"/>
          <w:szCs w:val="24"/>
        </w:rPr>
        <w:t xml:space="preserve">siti monitoraggio progettazione di ampliamento dell’offerta formativa - </w:t>
      </w:r>
      <w:proofErr w:type="spellStart"/>
      <w:r w:rsidRPr="002A0B3C">
        <w:rPr>
          <w:rFonts w:cstheme="minorHAnsi"/>
          <w:bCs/>
          <w:iCs/>
          <w:color w:val="000000"/>
          <w:sz w:val="24"/>
          <w:szCs w:val="24"/>
        </w:rPr>
        <w:t>a.s.</w:t>
      </w:r>
      <w:proofErr w:type="spellEnd"/>
      <w:r w:rsidRPr="002A0B3C">
        <w:rPr>
          <w:rFonts w:cstheme="minorHAnsi"/>
          <w:bCs/>
          <w:iCs/>
          <w:color w:val="000000"/>
          <w:sz w:val="24"/>
          <w:szCs w:val="24"/>
        </w:rPr>
        <w:t xml:space="preserve"> 2019.20</w:t>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r w:rsidR="00BE7590" w:rsidRPr="005179D8">
        <w:rPr>
          <w:rFonts w:cstheme="minorHAnsi"/>
          <w:b/>
          <w:bCs/>
          <w:iCs/>
          <w:color w:val="000000"/>
          <w:sz w:val="24"/>
          <w:szCs w:val="24"/>
        </w:rPr>
        <w:tab/>
      </w:r>
    </w:p>
    <w:p w14:paraId="00E3FB37" w14:textId="6988D3E8" w:rsidR="009562A4" w:rsidRPr="009562A4" w:rsidRDefault="009562A4" w:rsidP="009562A4">
      <w:pPr>
        <w:spacing w:line="360" w:lineRule="auto"/>
        <w:jc w:val="both"/>
        <w:rPr>
          <w:rFonts w:cstheme="minorHAnsi"/>
          <w:sz w:val="24"/>
          <w:szCs w:val="24"/>
        </w:rPr>
      </w:pPr>
      <w:r w:rsidRPr="009562A4">
        <w:rPr>
          <w:rFonts w:cstheme="minorHAnsi"/>
          <w:sz w:val="24"/>
          <w:szCs w:val="24"/>
        </w:rPr>
        <w:t>Nel</w:t>
      </w:r>
      <w:r>
        <w:rPr>
          <w:rFonts w:cstheme="minorHAnsi"/>
          <w:sz w:val="24"/>
          <w:szCs w:val="24"/>
        </w:rPr>
        <w:t xml:space="preserve"> corrente anno scolastico, 2019.</w:t>
      </w:r>
      <w:r w:rsidRPr="009562A4">
        <w:rPr>
          <w:rFonts w:cstheme="minorHAnsi"/>
          <w:sz w:val="24"/>
          <w:szCs w:val="24"/>
        </w:rPr>
        <w:t xml:space="preserve">2020, la proposta progettuale del nostro Istituto è stata molto articolata, </w:t>
      </w:r>
      <w:r>
        <w:rPr>
          <w:rFonts w:cstheme="minorHAnsi"/>
          <w:sz w:val="24"/>
          <w:szCs w:val="24"/>
        </w:rPr>
        <w:t xml:space="preserve">basata su </w:t>
      </w:r>
      <w:r w:rsidRPr="009562A4">
        <w:rPr>
          <w:rFonts w:cstheme="minorHAnsi"/>
          <w:sz w:val="24"/>
          <w:szCs w:val="24"/>
        </w:rPr>
        <w:t>P</w:t>
      </w:r>
      <w:r>
        <w:rPr>
          <w:rFonts w:cstheme="minorHAnsi"/>
          <w:sz w:val="24"/>
          <w:szCs w:val="24"/>
        </w:rPr>
        <w:t xml:space="preserve">rogetti PON e numerosi progetti a carico del Fondo di Istituto, in risposta </w:t>
      </w:r>
      <w:r w:rsidRPr="009562A4">
        <w:rPr>
          <w:rFonts w:cstheme="minorHAnsi"/>
          <w:sz w:val="24"/>
          <w:szCs w:val="24"/>
        </w:rPr>
        <w:t xml:space="preserve">sia alle richieste </w:t>
      </w:r>
      <w:r>
        <w:rPr>
          <w:rFonts w:cstheme="minorHAnsi"/>
          <w:sz w:val="24"/>
          <w:szCs w:val="24"/>
        </w:rPr>
        <w:t xml:space="preserve">e ai bisogni formativi </w:t>
      </w:r>
      <w:r w:rsidRPr="009562A4">
        <w:rPr>
          <w:rFonts w:cstheme="minorHAnsi"/>
          <w:sz w:val="24"/>
          <w:szCs w:val="24"/>
        </w:rPr>
        <w:t>degli alunni, sia all’obiettivo di eleva</w:t>
      </w:r>
      <w:r>
        <w:rPr>
          <w:rFonts w:cstheme="minorHAnsi"/>
          <w:sz w:val="24"/>
          <w:szCs w:val="24"/>
        </w:rPr>
        <w:t xml:space="preserve">re </w:t>
      </w:r>
      <w:r w:rsidRPr="009562A4">
        <w:rPr>
          <w:rFonts w:cstheme="minorHAnsi"/>
          <w:sz w:val="24"/>
          <w:szCs w:val="24"/>
        </w:rPr>
        <w:t>gli standard di apprendimento</w:t>
      </w:r>
      <w:r>
        <w:rPr>
          <w:rFonts w:cstheme="minorHAnsi"/>
          <w:sz w:val="24"/>
          <w:szCs w:val="24"/>
        </w:rPr>
        <w:t>,</w:t>
      </w:r>
      <w:r w:rsidRPr="009562A4">
        <w:rPr>
          <w:rFonts w:cstheme="minorHAnsi"/>
          <w:sz w:val="24"/>
          <w:szCs w:val="24"/>
        </w:rPr>
        <w:t xml:space="preserve"> previsto </w:t>
      </w:r>
      <w:r>
        <w:rPr>
          <w:rFonts w:cstheme="minorHAnsi"/>
          <w:sz w:val="24"/>
          <w:szCs w:val="24"/>
        </w:rPr>
        <w:t xml:space="preserve">nel </w:t>
      </w:r>
      <w:r w:rsidRPr="009562A4">
        <w:rPr>
          <w:rFonts w:cstheme="minorHAnsi"/>
          <w:sz w:val="24"/>
          <w:szCs w:val="24"/>
        </w:rPr>
        <w:t>Rapporto di Autovalutazione.</w:t>
      </w:r>
    </w:p>
    <w:p w14:paraId="45291E0F" w14:textId="77777777" w:rsidR="009562A4" w:rsidRPr="009562A4" w:rsidRDefault="009562A4" w:rsidP="009562A4">
      <w:pPr>
        <w:spacing w:line="360" w:lineRule="auto"/>
        <w:jc w:val="both"/>
        <w:rPr>
          <w:rFonts w:cstheme="minorHAnsi"/>
          <w:sz w:val="24"/>
          <w:szCs w:val="24"/>
        </w:rPr>
      </w:pPr>
      <w:r w:rsidRPr="009562A4">
        <w:rPr>
          <w:rFonts w:cstheme="minorHAnsi"/>
          <w:sz w:val="24"/>
          <w:szCs w:val="24"/>
        </w:rPr>
        <w:t xml:space="preserve">La valutazione del sistema scolastico deve, infatti, riguardare non solo gli apprendimenti degli studenti, ma anche il sistema scolastico inteso come servizio erogato nel suo complesso, le capacità formative ed organizzative dell’Istituto, i rapporti con le famiglie e con il territorio nel quale </w:t>
      </w:r>
      <w:r>
        <w:rPr>
          <w:rFonts w:cstheme="minorHAnsi"/>
          <w:sz w:val="24"/>
          <w:szCs w:val="24"/>
        </w:rPr>
        <w:t>lo stesso</w:t>
      </w:r>
      <w:r w:rsidRPr="009562A4">
        <w:rPr>
          <w:rFonts w:cstheme="minorHAnsi"/>
          <w:sz w:val="24"/>
          <w:szCs w:val="24"/>
        </w:rPr>
        <w:t xml:space="preserve"> è inserito ed opera.</w:t>
      </w:r>
    </w:p>
    <w:p w14:paraId="5572FE50" w14:textId="413659F3" w:rsidR="009562A4" w:rsidRPr="009562A4" w:rsidRDefault="009562A4" w:rsidP="009562A4">
      <w:pPr>
        <w:spacing w:line="360" w:lineRule="auto"/>
        <w:jc w:val="both"/>
        <w:rPr>
          <w:rFonts w:cstheme="minorHAnsi"/>
          <w:sz w:val="24"/>
          <w:szCs w:val="24"/>
        </w:rPr>
      </w:pPr>
      <w:r w:rsidRPr="009562A4">
        <w:rPr>
          <w:rFonts w:cstheme="minorHAnsi"/>
          <w:sz w:val="24"/>
          <w:szCs w:val="24"/>
        </w:rPr>
        <w:t xml:space="preserve">Il monitoraggio dei progetti </w:t>
      </w:r>
      <w:r>
        <w:rPr>
          <w:rFonts w:cstheme="minorHAnsi"/>
          <w:sz w:val="24"/>
          <w:szCs w:val="24"/>
        </w:rPr>
        <w:t xml:space="preserve">di ampliamento dell’offerta formativa </w:t>
      </w:r>
      <w:r w:rsidRPr="009562A4">
        <w:rPr>
          <w:rFonts w:cstheme="minorHAnsi"/>
          <w:sz w:val="24"/>
          <w:szCs w:val="24"/>
        </w:rPr>
        <w:t>è, quindi, svolto con lo scopo di individuar</w:t>
      </w:r>
      <w:r>
        <w:rPr>
          <w:rFonts w:cstheme="minorHAnsi"/>
          <w:sz w:val="24"/>
          <w:szCs w:val="24"/>
        </w:rPr>
        <w:t>n</w:t>
      </w:r>
      <w:r w:rsidRPr="009562A4">
        <w:rPr>
          <w:rFonts w:cstheme="minorHAnsi"/>
          <w:sz w:val="24"/>
          <w:szCs w:val="24"/>
        </w:rPr>
        <w:t>e i punti di forza / debolezza, analizzare eventuali insuccessi, rilevare il grado di soddisfazione degli alunni e formulare proposte operative per l’anno scolastico successivo.</w:t>
      </w:r>
    </w:p>
    <w:p w14:paraId="379338B3" w14:textId="77777777" w:rsidR="009562A4" w:rsidRPr="009562A4" w:rsidRDefault="009562A4" w:rsidP="009562A4">
      <w:pPr>
        <w:spacing w:line="360" w:lineRule="auto"/>
        <w:jc w:val="both"/>
        <w:rPr>
          <w:rFonts w:cstheme="minorHAnsi"/>
          <w:sz w:val="24"/>
          <w:szCs w:val="24"/>
        </w:rPr>
      </w:pPr>
      <w:r w:rsidRPr="009562A4">
        <w:rPr>
          <w:rFonts w:cstheme="minorHAnsi"/>
          <w:sz w:val="24"/>
          <w:szCs w:val="24"/>
        </w:rPr>
        <w:lastRenderedPageBreak/>
        <w:t>Nel corrente anno, purtroppo, a causa dell’interruzione di tutte le attività didattiche in presenza, la maggior parte delle attività progettuali non ha visto la conclusione e, pertanto, non è stato possibile somministrare un questionario finale agli studenti.</w:t>
      </w:r>
    </w:p>
    <w:p w14:paraId="25F30B9D" w14:textId="5D25A3FB" w:rsidR="009562A4" w:rsidRPr="009562A4" w:rsidRDefault="009562A4" w:rsidP="009562A4">
      <w:pPr>
        <w:spacing w:line="360" w:lineRule="auto"/>
        <w:jc w:val="both"/>
        <w:rPr>
          <w:rFonts w:cstheme="minorHAnsi"/>
          <w:sz w:val="24"/>
          <w:szCs w:val="24"/>
        </w:rPr>
      </w:pPr>
      <w:r w:rsidRPr="009562A4">
        <w:rPr>
          <w:rFonts w:cstheme="minorHAnsi"/>
          <w:sz w:val="24"/>
          <w:szCs w:val="24"/>
        </w:rPr>
        <w:t xml:space="preserve">In questo report abbiamo preso in considerazione </w:t>
      </w:r>
      <w:r>
        <w:rPr>
          <w:rFonts w:cstheme="minorHAnsi"/>
          <w:sz w:val="24"/>
          <w:szCs w:val="24"/>
        </w:rPr>
        <w:t>tutti i progetti programmati dalla scuola con l’aggiornamento del Piano Triennale dell’</w:t>
      </w:r>
      <w:r w:rsidR="002A0B3C">
        <w:rPr>
          <w:rFonts w:cstheme="minorHAnsi"/>
          <w:sz w:val="24"/>
          <w:szCs w:val="24"/>
        </w:rPr>
        <w:t>O</w:t>
      </w:r>
      <w:r>
        <w:rPr>
          <w:rFonts w:cstheme="minorHAnsi"/>
          <w:sz w:val="24"/>
          <w:szCs w:val="24"/>
        </w:rPr>
        <w:t>fferta Formativa.</w:t>
      </w:r>
    </w:p>
    <w:p w14:paraId="78113EAE" w14:textId="03A8E594" w:rsidR="009562A4" w:rsidRPr="009562A4" w:rsidRDefault="009562A4" w:rsidP="009562A4">
      <w:pPr>
        <w:spacing w:line="360" w:lineRule="auto"/>
        <w:jc w:val="both"/>
        <w:rPr>
          <w:rFonts w:cstheme="minorHAnsi"/>
          <w:sz w:val="24"/>
          <w:szCs w:val="24"/>
        </w:rPr>
      </w:pPr>
      <w:r w:rsidRPr="009562A4">
        <w:rPr>
          <w:rFonts w:cstheme="minorHAnsi"/>
          <w:sz w:val="24"/>
          <w:szCs w:val="24"/>
        </w:rPr>
        <w:t>I progetti presentati</w:t>
      </w:r>
      <w:r w:rsidR="002A0B3C">
        <w:rPr>
          <w:rFonts w:cstheme="minorHAnsi"/>
          <w:sz w:val="24"/>
          <w:szCs w:val="24"/>
        </w:rPr>
        <w:t>,</w:t>
      </w:r>
      <w:r w:rsidRPr="009562A4">
        <w:rPr>
          <w:rFonts w:cstheme="minorHAnsi"/>
          <w:sz w:val="24"/>
          <w:szCs w:val="24"/>
        </w:rPr>
        <w:t xml:space="preserve"> e</w:t>
      </w:r>
      <w:r w:rsidR="00B378BF">
        <w:rPr>
          <w:rFonts w:cstheme="minorHAnsi"/>
          <w:sz w:val="24"/>
          <w:szCs w:val="24"/>
        </w:rPr>
        <w:t>d</w:t>
      </w:r>
      <w:r w:rsidR="002A0B3C">
        <w:rPr>
          <w:rFonts w:cstheme="minorHAnsi"/>
          <w:sz w:val="24"/>
          <w:szCs w:val="24"/>
        </w:rPr>
        <w:t xml:space="preserve"> approvati</w:t>
      </w:r>
      <w:r w:rsidRPr="009562A4">
        <w:rPr>
          <w:rFonts w:cstheme="minorHAnsi"/>
          <w:sz w:val="24"/>
          <w:szCs w:val="24"/>
        </w:rPr>
        <w:t xml:space="preserve"> nelle opportune sedi collegiali, sono stati n. 45 suddivisi in otto aree progettuali: Eccellenze, Cittadinanza attiva, Ambiente-Sport-Benessere, Arte e Comunicazione, P</w:t>
      </w:r>
      <w:r w:rsidR="00B378BF">
        <w:rPr>
          <w:rFonts w:cstheme="minorHAnsi"/>
          <w:sz w:val="24"/>
          <w:szCs w:val="24"/>
        </w:rPr>
        <w:t xml:space="preserve">iano </w:t>
      </w:r>
      <w:r w:rsidRPr="009562A4">
        <w:rPr>
          <w:rFonts w:cstheme="minorHAnsi"/>
          <w:sz w:val="24"/>
          <w:szCs w:val="24"/>
        </w:rPr>
        <w:t>N</w:t>
      </w:r>
      <w:r w:rsidR="00B378BF">
        <w:rPr>
          <w:rFonts w:cstheme="minorHAnsi"/>
          <w:sz w:val="24"/>
          <w:szCs w:val="24"/>
        </w:rPr>
        <w:t xml:space="preserve">azionale </w:t>
      </w:r>
      <w:r w:rsidRPr="009562A4">
        <w:rPr>
          <w:rFonts w:cstheme="minorHAnsi"/>
          <w:sz w:val="24"/>
          <w:szCs w:val="24"/>
        </w:rPr>
        <w:t>S</w:t>
      </w:r>
      <w:r w:rsidR="00B378BF">
        <w:rPr>
          <w:rFonts w:cstheme="minorHAnsi"/>
          <w:sz w:val="24"/>
          <w:szCs w:val="24"/>
        </w:rPr>
        <w:t xml:space="preserve">cuola </w:t>
      </w:r>
      <w:r w:rsidRPr="009562A4">
        <w:rPr>
          <w:rFonts w:cstheme="minorHAnsi"/>
          <w:sz w:val="24"/>
          <w:szCs w:val="24"/>
        </w:rPr>
        <w:t>D</w:t>
      </w:r>
      <w:r w:rsidR="00B378BF">
        <w:rPr>
          <w:rFonts w:cstheme="minorHAnsi"/>
          <w:sz w:val="24"/>
          <w:szCs w:val="24"/>
        </w:rPr>
        <w:t>igitale, Orientamento</w:t>
      </w:r>
      <w:r w:rsidRPr="009562A4">
        <w:rPr>
          <w:rFonts w:cstheme="minorHAnsi"/>
          <w:sz w:val="24"/>
          <w:szCs w:val="24"/>
        </w:rPr>
        <w:t>, Potenziamento e Certificazioni.</w:t>
      </w:r>
    </w:p>
    <w:p w14:paraId="489E7F57" w14:textId="77777777" w:rsidR="009562A4" w:rsidRPr="009562A4" w:rsidRDefault="009562A4" w:rsidP="009562A4">
      <w:pPr>
        <w:spacing w:line="360" w:lineRule="auto"/>
        <w:jc w:val="both"/>
        <w:rPr>
          <w:rFonts w:cstheme="minorHAnsi"/>
          <w:sz w:val="24"/>
          <w:szCs w:val="24"/>
        </w:rPr>
      </w:pPr>
      <w:r w:rsidRPr="009562A4">
        <w:rPr>
          <w:rFonts w:cstheme="minorHAnsi"/>
          <w:sz w:val="24"/>
          <w:szCs w:val="24"/>
        </w:rPr>
        <w:t>Nel corso di questo anno scolastico e fino al mese di marzo, momento di sospensione di tutte le attività didattiche in presenza</w:t>
      </w:r>
      <w:r w:rsidR="00B378BF">
        <w:rPr>
          <w:rFonts w:cstheme="minorHAnsi"/>
          <w:sz w:val="24"/>
          <w:szCs w:val="24"/>
        </w:rPr>
        <w:t xml:space="preserve"> per emergenza epidemiologica, sono stati avviati n. 26</w:t>
      </w:r>
      <w:r w:rsidRPr="009562A4">
        <w:rPr>
          <w:rFonts w:cstheme="minorHAnsi"/>
          <w:sz w:val="24"/>
          <w:szCs w:val="24"/>
        </w:rPr>
        <w:t xml:space="preserve"> progetti, pari al </w:t>
      </w:r>
      <w:r w:rsidR="002A0B3C">
        <w:rPr>
          <w:rFonts w:cstheme="minorHAnsi"/>
          <w:sz w:val="24"/>
          <w:szCs w:val="24"/>
        </w:rPr>
        <w:t>22</w:t>
      </w:r>
      <w:r w:rsidRPr="009562A4">
        <w:rPr>
          <w:rFonts w:cstheme="minorHAnsi"/>
          <w:sz w:val="24"/>
          <w:szCs w:val="24"/>
        </w:rPr>
        <w:t>%</w:t>
      </w:r>
      <w:r w:rsidR="00B378BF">
        <w:rPr>
          <w:rFonts w:cstheme="minorHAnsi"/>
          <w:sz w:val="24"/>
          <w:szCs w:val="24"/>
        </w:rPr>
        <w:t xml:space="preserve"> del totale.</w:t>
      </w:r>
    </w:p>
    <w:p w14:paraId="0387F644" w14:textId="77777777" w:rsidR="009562A4" w:rsidRDefault="002A0B3C" w:rsidP="009562A4">
      <w:pPr>
        <w:spacing w:line="360" w:lineRule="auto"/>
        <w:jc w:val="both"/>
        <w:rPr>
          <w:rFonts w:cstheme="minorHAnsi"/>
          <w:sz w:val="24"/>
          <w:szCs w:val="24"/>
        </w:rPr>
      </w:pPr>
      <w:r>
        <w:rPr>
          <w:rFonts w:cstheme="minorHAnsi"/>
          <w:sz w:val="24"/>
          <w:szCs w:val="24"/>
        </w:rPr>
        <w:t>Sono stati svolti in maniera parziale n. 20 progetti pari al 28% del totale, mentre sono stati conclusi n. 6 progetti, pari all’1% del totale.</w:t>
      </w:r>
    </w:p>
    <w:p w14:paraId="11FF3106" w14:textId="77777777" w:rsidR="002A0B3C" w:rsidRPr="009562A4" w:rsidRDefault="002A0B3C" w:rsidP="009562A4">
      <w:pPr>
        <w:spacing w:line="360" w:lineRule="auto"/>
        <w:jc w:val="both"/>
        <w:rPr>
          <w:rFonts w:cstheme="minorHAnsi"/>
          <w:sz w:val="24"/>
          <w:szCs w:val="24"/>
        </w:rPr>
      </w:pPr>
    </w:p>
    <w:p w14:paraId="06086E01" w14:textId="77777777" w:rsidR="009562A4" w:rsidRPr="009562A4" w:rsidRDefault="002A0B3C" w:rsidP="009562A4">
      <w:pPr>
        <w:spacing w:line="360" w:lineRule="auto"/>
        <w:jc w:val="both"/>
        <w:rPr>
          <w:rFonts w:cstheme="minorHAnsi"/>
          <w:sz w:val="24"/>
          <w:szCs w:val="24"/>
        </w:rPr>
      </w:pPr>
      <w:r w:rsidRPr="002A0B3C">
        <w:rPr>
          <w:rFonts w:cstheme="minorHAnsi"/>
          <w:noProof/>
          <w:sz w:val="24"/>
          <w:szCs w:val="24"/>
        </w:rPr>
        <w:drawing>
          <wp:inline distT="0" distB="0" distL="0" distR="0" wp14:anchorId="11066AEF" wp14:editId="3E410999">
            <wp:extent cx="5753100" cy="3200400"/>
            <wp:effectExtent l="19050" t="0" r="1905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70C008" w14:textId="77777777" w:rsidR="009562A4" w:rsidRPr="00053352" w:rsidRDefault="009562A4" w:rsidP="009562A4">
      <w:pPr>
        <w:jc w:val="center"/>
        <w:rPr>
          <w:sz w:val="24"/>
          <w:szCs w:val="24"/>
        </w:rPr>
      </w:pPr>
    </w:p>
    <w:p w14:paraId="5C83B810" w14:textId="77777777" w:rsidR="009562A4" w:rsidRDefault="009562A4" w:rsidP="009562A4">
      <w:pPr>
        <w:jc w:val="center"/>
        <w:rPr>
          <w:sz w:val="24"/>
          <w:szCs w:val="24"/>
        </w:rPr>
      </w:pPr>
    </w:p>
    <w:p w14:paraId="443930C1" w14:textId="77777777" w:rsidR="009562A4" w:rsidRDefault="009562A4" w:rsidP="009562A4">
      <w:pPr>
        <w:jc w:val="center"/>
        <w:rPr>
          <w:sz w:val="24"/>
          <w:szCs w:val="24"/>
        </w:rPr>
      </w:pPr>
    </w:p>
    <w:p w14:paraId="61102804" w14:textId="77777777" w:rsidR="009562A4" w:rsidRPr="006D5D6F" w:rsidRDefault="009562A4" w:rsidP="009562A4">
      <w:pPr>
        <w:jc w:val="center"/>
        <w:rPr>
          <w:sz w:val="24"/>
          <w:szCs w:val="24"/>
        </w:rPr>
      </w:pPr>
    </w:p>
    <w:p w14:paraId="43DBFB5E" w14:textId="77777777" w:rsidR="009562A4" w:rsidRDefault="002A0B3C" w:rsidP="005179D8">
      <w:pPr>
        <w:spacing w:line="276" w:lineRule="auto"/>
        <w:jc w:val="both"/>
        <w:rPr>
          <w:rFonts w:cstheme="minorHAnsi"/>
          <w:bCs/>
          <w:iCs/>
          <w:color w:val="000000"/>
          <w:sz w:val="24"/>
          <w:szCs w:val="24"/>
        </w:rPr>
      </w:pPr>
      <w:r w:rsidRPr="00DA42E2">
        <w:rPr>
          <w:rFonts w:cstheme="minorHAnsi"/>
          <w:bCs/>
          <w:iCs/>
          <w:color w:val="000000"/>
          <w:sz w:val="24"/>
          <w:szCs w:val="24"/>
        </w:rPr>
        <w:lastRenderedPageBreak/>
        <w:t>Alcuni progetti potranno essere portati a termine all’inizio del prossimo anno scolastico, quali ad esempio le certificazioni, e/o rimodulati secondo le esigenze organizzative e didattiche conseguenti all’evoluzione dell’emergenza sanitaria.</w:t>
      </w:r>
    </w:p>
    <w:p w14:paraId="69471DC9" w14:textId="67ECA336" w:rsidR="009562A4" w:rsidRDefault="00DA42E2" w:rsidP="005179D8">
      <w:pPr>
        <w:spacing w:line="276" w:lineRule="auto"/>
        <w:jc w:val="both"/>
        <w:rPr>
          <w:rFonts w:cstheme="minorHAnsi"/>
          <w:bCs/>
          <w:iCs/>
          <w:color w:val="000000"/>
          <w:sz w:val="24"/>
          <w:szCs w:val="24"/>
        </w:rPr>
      </w:pPr>
      <w:r>
        <w:rPr>
          <w:rFonts w:cstheme="minorHAnsi"/>
          <w:bCs/>
          <w:iCs/>
          <w:color w:val="000000"/>
          <w:sz w:val="24"/>
          <w:szCs w:val="24"/>
        </w:rPr>
        <w:t>Nel rispetto delle recenti indicazioni ministeriali, la progettualità del prossimo anno dovrà essere orientata, prioritariamente, al recupero delle insufficienze nonché all’integrazione e al potenziamento degli apprendimenti che, nel corso di quest’anno, non siano stati adeguatamente trattati.</w:t>
      </w:r>
    </w:p>
    <w:p w14:paraId="7C3E3E12" w14:textId="77777777" w:rsidR="00E07CB6" w:rsidRPr="00DA42E2" w:rsidRDefault="00E07CB6" w:rsidP="005179D8">
      <w:pPr>
        <w:spacing w:line="276" w:lineRule="auto"/>
        <w:jc w:val="both"/>
        <w:rPr>
          <w:rFonts w:cstheme="minorHAnsi"/>
          <w:bCs/>
          <w:iCs/>
          <w:color w:val="000000"/>
          <w:sz w:val="24"/>
          <w:szCs w:val="24"/>
        </w:rPr>
      </w:pPr>
    </w:p>
    <w:p w14:paraId="684EA3A6" w14:textId="77777777" w:rsidR="00217EEF" w:rsidRDefault="00217EEF" w:rsidP="005179D8">
      <w:pPr>
        <w:spacing w:line="276" w:lineRule="auto"/>
        <w:jc w:val="both"/>
        <w:rPr>
          <w:rFonts w:cstheme="minorHAnsi"/>
          <w:bCs/>
          <w:i/>
          <w:iCs/>
          <w:color w:val="000000"/>
          <w:sz w:val="24"/>
          <w:szCs w:val="24"/>
        </w:rPr>
      </w:pPr>
      <w:r w:rsidRPr="00217EEF">
        <w:rPr>
          <w:rFonts w:cstheme="minorHAnsi"/>
          <w:bCs/>
          <w:i/>
          <w:iCs/>
          <w:color w:val="000000"/>
          <w:sz w:val="24"/>
          <w:szCs w:val="24"/>
        </w:rPr>
        <w:t>L’occasione è gradita per porgere cordiali saluti.</w:t>
      </w:r>
    </w:p>
    <w:p w14:paraId="2BE90C45" w14:textId="77777777" w:rsidR="00DA42E2" w:rsidRDefault="00DA42E2" w:rsidP="005179D8">
      <w:pPr>
        <w:spacing w:line="276" w:lineRule="auto"/>
        <w:jc w:val="both"/>
        <w:rPr>
          <w:rFonts w:cstheme="minorHAnsi"/>
          <w:bCs/>
          <w:i/>
          <w:iCs/>
          <w:color w:val="000000"/>
          <w:sz w:val="24"/>
          <w:szCs w:val="24"/>
        </w:rPr>
      </w:pPr>
    </w:p>
    <w:p w14:paraId="26887B4D" w14:textId="77777777" w:rsidR="00DA42E2" w:rsidRPr="00DA42E2" w:rsidRDefault="00DA42E2" w:rsidP="005179D8">
      <w:pPr>
        <w:spacing w:line="276" w:lineRule="auto"/>
        <w:jc w:val="both"/>
        <w:rPr>
          <w:rFonts w:cstheme="minorHAnsi"/>
          <w:b/>
          <w:bCs/>
          <w:iCs/>
          <w:color w:val="000000"/>
          <w:sz w:val="24"/>
          <w:szCs w:val="24"/>
        </w:rPr>
      </w:pPr>
      <w:r w:rsidRPr="00DA42E2">
        <w:rPr>
          <w:rFonts w:cstheme="minorHAnsi"/>
          <w:b/>
          <w:bCs/>
          <w:iCs/>
          <w:color w:val="000000"/>
          <w:sz w:val="24"/>
          <w:szCs w:val="24"/>
        </w:rPr>
        <w:t>Il docente FS</w:t>
      </w:r>
    </w:p>
    <w:p w14:paraId="5CEEF058" w14:textId="7AE02CD3" w:rsidR="00DA42E2" w:rsidRDefault="00DA42E2" w:rsidP="005179D8">
      <w:pPr>
        <w:spacing w:line="276" w:lineRule="auto"/>
        <w:jc w:val="both"/>
        <w:rPr>
          <w:rFonts w:cstheme="minorHAnsi"/>
          <w:bCs/>
          <w:i/>
          <w:iCs/>
          <w:color w:val="000000"/>
          <w:sz w:val="24"/>
          <w:szCs w:val="24"/>
        </w:rPr>
      </w:pPr>
      <w:r w:rsidRPr="00DA42E2">
        <w:rPr>
          <w:rFonts w:cstheme="minorHAnsi"/>
          <w:bCs/>
          <w:i/>
          <w:iCs/>
          <w:color w:val="000000"/>
          <w:sz w:val="24"/>
          <w:szCs w:val="24"/>
        </w:rPr>
        <w:t>Prof. Emilio Malandrino</w:t>
      </w:r>
    </w:p>
    <w:p w14:paraId="05249743" w14:textId="77777777" w:rsidR="00E07CB6" w:rsidRPr="00DA42E2" w:rsidRDefault="00E07CB6" w:rsidP="005179D8">
      <w:pPr>
        <w:spacing w:line="276" w:lineRule="auto"/>
        <w:jc w:val="both"/>
        <w:rPr>
          <w:rFonts w:cstheme="minorHAnsi"/>
          <w:bCs/>
          <w:i/>
          <w:iCs/>
          <w:color w:val="000000"/>
          <w:sz w:val="24"/>
          <w:szCs w:val="24"/>
        </w:rPr>
      </w:pPr>
    </w:p>
    <w:p w14:paraId="2CEA932F" w14:textId="77777777" w:rsidR="00B17A91" w:rsidRDefault="00B17A91" w:rsidP="00B17A91">
      <w:pPr>
        <w:pStyle w:val="Default"/>
        <w:jc w:val="right"/>
        <w:rPr>
          <w:sz w:val="22"/>
          <w:szCs w:val="22"/>
        </w:rPr>
      </w:pPr>
      <w:r>
        <w:rPr>
          <w:b/>
          <w:bCs/>
          <w:sz w:val="22"/>
          <w:szCs w:val="22"/>
        </w:rPr>
        <w:t xml:space="preserve">Il Dirigente Scolastico </w:t>
      </w:r>
    </w:p>
    <w:p w14:paraId="3E1D2AB8" w14:textId="77777777" w:rsidR="00B17A91" w:rsidRDefault="00B17A91" w:rsidP="00B17A91">
      <w:pPr>
        <w:pStyle w:val="Default"/>
        <w:jc w:val="right"/>
        <w:rPr>
          <w:sz w:val="20"/>
          <w:szCs w:val="20"/>
        </w:rPr>
      </w:pPr>
      <w:r>
        <w:rPr>
          <w:i/>
          <w:iCs/>
          <w:sz w:val="20"/>
          <w:szCs w:val="20"/>
        </w:rPr>
        <w:t xml:space="preserve">Dott.ssa Anna Vassallo </w:t>
      </w:r>
    </w:p>
    <w:p w14:paraId="7FFCBAF8" w14:textId="77777777" w:rsidR="00B17A91" w:rsidRDefault="00B17A91" w:rsidP="00B17A91">
      <w:pPr>
        <w:pStyle w:val="Default"/>
        <w:jc w:val="right"/>
        <w:rPr>
          <w:sz w:val="16"/>
          <w:szCs w:val="16"/>
        </w:rPr>
      </w:pPr>
      <w:r>
        <w:rPr>
          <w:sz w:val="16"/>
          <w:szCs w:val="16"/>
        </w:rPr>
        <w:t xml:space="preserve">(Firma autografa sostituita a mezzo stampa </w:t>
      </w:r>
    </w:p>
    <w:p w14:paraId="1D9DAC0A" w14:textId="77777777" w:rsidR="00B17A91" w:rsidRPr="001C6CDD" w:rsidRDefault="00B17A91" w:rsidP="00B17A91">
      <w:pPr>
        <w:jc w:val="right"/>
        <w:rPr>
          <w:rFonts w:cs="Calibri"/>
          <w:sz w:val="24"/>
          <w:szCs w:val="24"/>
        </w:rPr>
      </w:pPr>
      <w:r>
        <w:rPr>
          <w:sz w:val="16"/>
          <w:szCs w:val="16"/>
        </w:rPr>
        <w:t>ai sensi e per gli effetti dell’art.3. c.2, D. Lgs. N. 39/1993)</w:t>
      </w:r>
    </w:p>
    <w:p w14:paraId="7A20E69A" w14:textId="0FD3016E" w:rsidR="006B3868" w:rsidRPr="00E07CB6" w:rsidRDefault="006B3868" w:rsidP="00B17A91">
      <w:pPr>
        <w:spacing w:after="0"/>
        <w:ind w:left="5664" w:firstLine="708"/>
        <w:rPr>
          <w:rFonts w:ascii="Calibri" w:hAnsi="Calibri"/>
          <w:sz w:val="16"/>
          <w:szCs w:val="16"/>
        </w:rPr>
      </w:pPr>
    </w:p>
    <w:sectPr w:rsidR="006B3868" w:rsidRPr="00E07CB6" w:rsidSect="003674A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51042" w14:textId="77777777" w:rsidR="00DE2D30" w:rsidRDefault="00DE2D30" w:rsidP="00B2665D">
      <w:pPr>
        <w:spacing w:after="0" w:line="240" w:lineRule="auto"/>
      </w:pPr>
      <w:r>
        <w:separator/>
      </w:r>
    </w:p>
  </w:endnote>
  <w:endnote w:type="continuationSeparator" w:id="0">
    <w:p w14:paraId="5B9FEED1" w14:textId="77777777" w:rsidR="00DE2D30" w:rsidRDefault="00DE2D30" w:rsidP="00B2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2E6B" w14:textId="77777777" w:rsidR="00DE2D30" w:rsidRDefault="00DE2D30" w:rsidP="00B2665D">
      <w:pPr>
        <w:spacing w:after="0" w:line="240" w:lineRule="auto"/>
      </w:pPr>
      <w:r>
        <w:separator/>
      </w:r>
    </w:p>
  </w:footnote>
  <w:footnote w:type="continuationSeparator" w:id="0">
    <w:p w14:paraId="3450B568" w14:textId="77777777" w:rsidR="00DE2D30" w:rsidRDefault="00DE2D30" w:rsidP="00B2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473A"/>
    <w:multiLevelType w:val="hybridMultilevel"/>
    <w:tmpl w:val="8E1A067C"/>
    <w:lvl w:ilvl="0" w:tplc="0FA456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DE35C9"/>
    <w:multiLevelType w:val="hybridMultilevel"/>
    <w:tmpl w:val="227A175C"/>
    <w:lvl w:ilvl="0" w:tplc="0410000F">
      <w:start w:val="1"/>
      <w:numFmt w:val="decimal"/>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F6432A8"/>
    <w:multiLevelType w:val="multilevel"/>
    <w:tmpl w:val="C1F2FE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84525F"/>
    <w:multiLevelType w:val="hybridMultilevel"/>
    <w:tmpl w:val="D95891EA"/>
    <w:lvl w:ilvl="0" w:tplc="767615AC">
      <w:numFmt w:val="bullet"/>
      <w:lvlText w:val="-"/>
      <w:lvlJc w:val="left"/>
      <w:pPr>
        <w:ind w:left="720" w:hanging="360"/>
      </w:pPr>
      <w:rPr>
        <w:rFonts w:ascii="Calibri" w:eastAsiaTheme="minorHAnsi" w:hAnsi="Calibri" w:cs="Calibri"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26A2A"/>
    <w:multiLevelType w:val="hybridMultilevel"/>
    <w:tmpl w:val="F92CD7DE"/>
    <w:lvl w:ilvl="0" w:tplc="343C36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D925BD"/>
    <w:multiLevelType w:val="hybridMultilevel"/>
    <w:tmpl w:val="77B258E8"/>
    <w:lvl w:ilvl="0" w:tplc="4C049B7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7F1DDF"/>
    <w:multiLevelType w:val="multilevel"/>
    <w:tmpl w:val="72BE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32DB8"/>
    <w:multiLevelType w:val="multilevel"/>
    <w:tmpl w:val="49C8C9D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6A70C8"/>
    <w:multiLevelType w:val="hybridMultilevel"/>
    <w:tmpl w:val="D64A7D40"/>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29C345C5"/>
    <w:multiLevelType w:val="hybridMultilevel"/>
    <w:tmpl w:val="D19019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8659AC"/>
    <w:multiLevelType w:val="multilevel"/>
    <w:tmpl w:val="D96A56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8036FC"/>
    <w:multiLevelType w:val="hybridMultilevel"/>
    <w:tmpl w:val="F482D5B2"/>
    <w:lvl w:ilvl="0" w:tplc="B47A38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612FCE"/>
    <w:multiLevelType w:val="hybridMultilevel"/>
    <w:tmpl w:val="80EE8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4C2105"/>
    <w:multiLevelType w:val="hybridMultilevel"/>
    <w:tmpl w:val="562C455C"/>
    <w:lvl w:ilvl="0" w:tplc="6562E4D4">
      <w:numFmt w:val="bullet"/>
      <w:lvlText w:val="-"/>
      <w:lvlJc w:val="left"/>
      <w:pPr>
        <w:ind w:left="720" w:hanging="360"/>
      </w:pPr>
      <w:rPr>
        <w:rFonts w:ascii="Calibri" w:eastAsiaTheme="minorHAnsi" w:hAnsi="Calibri" w:cs="Calibri"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16614A"/>
    <w:multiLevelType w:val="hybridMultilevel"/>
    <w:tmpl w:val="0610135C"/>
    <w:lvl w:ilvl="0" w:tplc="D1CC3D0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CA3FDF"/>
    <w:multiLevelType w:val="hybridMultilevel"/>
    <w:tmpl w:val="7DA46A58"/>
    <w:lvl w:ilvl="0" w:tplc="82160230">
      <w:numFmt w:val="bullet"/>
      <w:lvlText w:val="•"/>
      <w:lvlJc w:val="left"/>
      <w:pPr>
        <w:ind w:left="1425" w:hanging="705"/>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15573F"/>
    <w:multiLevelType w:val="hybridMultilevel"/>
    <w:tmpl w:val="9F18E5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F92EBF"/>
    <w:multiLevelType w:val="hybridMultilevel"/>
    <w:tmpl w:val="2392F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1C05AF"/>
    <w:multiLevelType w:val="hybridMultilevel"/>
    <w:tmpl w:val="B4EC705E"/>
    <w:lvl w:ilvl="0" w:tplc="DD243C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B43C9F"/>
    <w:multiLevelType w:val="multilevel"/>
    <w:tmpl w:val="AF76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17"/>
  </w:num>
  <w:num w:numId="5">
    <w:abstractNumId w:val="9"/>
  </w:num>
  <w:num w:numId="6">
    <w:abstractNumId w:val="0"/>
  </w:num>
  <w:num w:numId="7">
    <w:abstractNumId w:val="1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3"/>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4B"/>
    <w:rsid w:val="0008639F"/>
    <w:rsid w:val="000B3226"/>
    <w:rsid w:val="000B3A38"/>
    <w:rsid w:val="000C06E6"/>
    <w:rsid w:val="000D668A"/>
    <w:rsid w:val="000F08DC"/>
    <w:rsid w:val="000F2415"/>
    <w:rsid w:val="000F3E18"/>
    <w:rsid w:val="00102716"/>
    <w:rsid w:val="00111CE1"/>
    <w:rsid w:val="00114C87"/>
    <w:rsid w:val="0015336F"/>
    <w:rsid w:val="001A3040"/>
    <w:rsid w:val="001A3366"/>
    <w:rsid w:val="001A349E"/>
    <w:rsid w:val="001A4C77"/>
    <w:rsid w:val="001C005F"/>
    <w:rsid w:val="001F2202"/>
    <w:rsid w:val="001F56C7"/>
    <w:rsid w:val="00213872"/>
    <w:rsid w:val="00217EEF"/>
    <w:rsid w:val="002273D4"/>
    <w:rsid w:val="00253AA3"/>
    <w:rsid w:val="002A0B3C"/>
    <w:rsid w:val="002B4507"/>
    <w:rsid w:val="002C514B"/>
    <w:rsid w:val="002E5A6C"/>
    <w:rsid w:val="00304AF5"/>
    <w:rsid w:val="003111C5"/>
    <w:rsid w:val="00317600"/>
    <w:rsid w:val="003674A3"/>
    <w:rsid w:val="003872BB"/>
    <w:rsid w:val="003950EC"/>
    <w:rsid w:val="003A636C"/>
    <w:rsid w:val="003A7A5D"/>
    <w:rsid w:val="003B25DB"/>
    <w:rsid w:val="003F113C"/>
    <w:rsid w:val="004558EF"/>
    <w:rsid w:val="004E0725"/>
    <w:rsid w:val="005017E2"/>
    <w:rsid w:val="0050612A"/>
    <w:rsid w:val="005063E2"/>
    <w:rsid w:val="005179D8"/>
    <w:rsid w:val="00537B5E"/>
    <w:rsid w:val="00560F78"/>
    <w:rsid w:val="00572C21"/>
    <w:rsid w:val="005B1E14"/>
    <w:rsid w:val="005E602D"/>
    <w:rsid w:val="005E691A"/>
    <w:rsid w:val="005F40CC"/>
    <w:rsid w:val="006067B6"/>
    <w:rsid w:val="00612BE7"/>
    <w:rsid w:val="0067166E"/>
    <w:rsid w:val="0067399E"/>
    <w:rsid w:val="00691A98"/>
    <w:rsid w:val="006B3868"/>
    <w:rsid w:val="006F7FE2"/>
    <w:rsid w:val="007207C1"/>
    <w:rsid w:val="00735158"/>
    <w:rsid w:val="007527EB"/>
    <w:rsid w:val="0079500A"/>
    <w:rsid w:val="007B04D0"/>
    <w:rsid w:val="007F5942"/>
    <w:rsid w:val="0080415F"/>
    <w:rsid w:val="00812CCB"/>
    <w:rsid w:val="008D3958"/>
    <w:rsid w:val="008F3A65"/>
    <w:rsid w:val="00922293"/>
    <w:rsid w:val="00931E9B"/>
    <w:rsid w:val="009562A4"/>
    <w:rsid w:val="009754F9"/>
    <w:rsid w:val="00996249"/>
    <w:rsid w:val="009970D2"/>
    <w:rsid w:val="009A4BD3"/>
    <w:rsid w:val="009D6E00"/>
    <w:rsid w:val="00A52C28"/>
    <w:rsid w:val="00A56DBB"/>
    <w:rsid w:val="00A83921"/>
    <w:rsid w:val="00A959E6"/>
    <w:rsid w:val="00AB5321"/>
    <w:rsid w:val="00AB72E8"/>
    <w:rsid w:val="00AC18A7"/>
    <w:rsid w:val="00AD0A18"/>
    <w:rsid w:val="00AD0BB8"/>
    <w:rsid w:val="00AD7811"/>
    <w:rsid w:val="00AE148B"/>
    <w:rsid w:val="00AE2C65"/>
    <w:rsid w:val="00B014DD"/>
    <w:rsid w:val="00B04352"/>
    <w:rsid w:val="00B17A91"/>
    <w:rsid w:val="00B2665D"/>
    <w:rsid w:val="00B378BF"/>
    <w:rsid w:val="00B44A57"/>
    <w:rsid w:val="00BA7B4A"/>
    <w:rsid w:val="00BB62FE"/>
    <w:rsid w:val="00BE7590"/>
    <w:rsid w:val="00C03A46"/>
    <w:rsid w:val="00C127FF"/>
    <w:rsid w:val="00C677C5"/>
    <w:rsid w:val="00CB17E1"/>
    <w:rsid w:val="00CC0F22"/>
    <w:rsid w:val="00CC57EC"/>
    <w:rsid w:val="00CD636B"/>
    <w:rsid w:val="00D00F36"/>
    <w:rsid w:val="00D076AA"/>
    <w:rsid w:val="00D21B4D"/>
    <w:rsid w:val="00D26DBF"/>
    <w:rsid w:val="00D366C5"/>
    <w:rsid w:val="00D85BAF"/>
    <w:rsid w:val="00D954B6"/>
    <w:rsid w:val="00DA42E2"/>
    <w:rsid w:val="00DC425F"/>
    <w:rsid w:val="00DE2D30"/>
    <w:rsid w:val="00DF5209"/>
    <w:rsid w:val="00E07CB6"/>
    <w:rsid w:val="00E12441"/>
    <w:rsid w:val="00E26F74"/>
    <w:rsid w:val="00E70AE2"/>
    <w:rsid w:val="00EC57D9"/>
    <w:rsid w:val="00ED2275"/>
    <w:rsid w:val="00ED7A20"/>
    <w:rsid w:val="00EE4A7B"/>
    <w:rsid w:val="00F01ED9"/>
    <w:rsid w:val="00F13311"/>
    <w:rsid w:val="00F34ED4"/>
    <w:rsid w:val="00F426B9"/>
    <w:rsid w:val="00F514D6"/>
    <w:rsid w:val="00F7470B"/>
    <w:rsid w:val="00FC6F94"/>
    <w:rsid w:val="00FD594F"/>
    <w:rsid w:val="00FF00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7588"/>
  <w15:docId w15:val="{8028BA85-08C3-4B94-93E5-6EAAD165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4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14B"/>
    <w:pPr>
      <w:ind w:left="720"/>
      <w:contextualSpacing/>
    </w:pPr>
  </w:style>
  <w:style w:type="paragraph" w:styleId="NormaleWeb">
    <w:name w:val="Normal (Web)"/>
    <w:basedOn w:val="Normale"/>
    <w:uiPriority w:val="99"/>
    <w:unhideWhenUsed/>
    <w:rsid w:val="00BA7B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7B4A"/>
    <w:rPr>
      <w:b/>
      <w:bCs/>
    </w:rPr>
  </w:style>
  <w:style w:type="character" w:styleId="Enfasicorsivo">
    <w:name w:val="Emphasis"/>
    <w:basedOn w:val="Carpredefinitoparagrafo"/>
    <w:uiPriority w:val="20"/>
    <w:qFormat/>
    <w:rsid w:val="00BA7B4A"/>
    <w:rPr>
      <w:i/>
      <w:iCs/>
    </w:rPr>
  </w:style>
  <w:style w:type="paragraph" w:styleId="Testofumetto">
    <w:name w:val="Balloon Text"/>
    <w:basedOn w:val="Normale"/>
    <w:link w:val="TestofumettoCarattere"/>
    <w:uiPriority w:val="99"/>
    <w:semiHidden/>
    <w:unhideWhenUsed/>
    <w:rsid w:val="009D6E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E00"/>
    <w:rPr>
      <w:rFonts w:ascii="Tahoma" w:hAnsi="Tahoma" w:cs="Tahoma"/>
      <w:sz w:val="16"/>
      <w:szCs w:val="16"/>
    </w:rPr>
  </w:style>
  <w:style w:type="character" w:styleId="Collegamentoipertestuale">
    <w:name w:val="Hyperlink"/>
    <w:basedOn w:val="Carpredefinitoparagrafo"/>
    <w:uiPriority w:val="99"/>
    <w:unhideWhenUsed/>
    <w:rsid w:val="005063E2"/>
    <w:rPr>
      <w:color w:val="0563C1" w:themeColor="hyperlink"/>
      <w:u w:val="single"/>
    </w:rPr>
  </w:style>
  <w:style w:type="paragraph" w:styleId="Pidipagina">
    <w:name w:val="footer"/>
    <w:basedOn w:val="Normale"/>
    <w:link w:val="PidipaginaCarattere"/>
    <w:rsid w:val="005017E2"/>
    <w:pPr>
      <w:tabs>
        <w:tab w:val="center" w:pos="4819"/>
        <w:tab w:val="right" w:pos="9638"/>
      </w:tabs>
      <w:spacing w:after="0" w:line="240" w:lineRule="auto"/>
    </w:pPr>
    <w:rPr>
      <w:rFonts w:ascii="Arial" w:eastAsia="Times New Roman" w:hAnsi="Arial" w:cs="Times New Roman"/>
      <w:color w:val="000000"/>
      <w:sz w:val="24"/>
      <w:szCs w:val="24"/>
    </w:rPr>
  </w:style>
  <w:style w:type="character" w:customStyle="1" w:styleId="PidipaginaCarattere">
    <w:name w:val="Piè di pagina Carattere"/>
    <w:basedOn w:val="Carpredefinitoparagrafo"/>
    <w:link w:val="Pidipagina"/>
    <w:rsid w:val="005017E2"/>
    <w:rPr>
      <w:rFonts w:ascii="Arial" w:eastAsia="Times New Roman" w:hAnsi="Arial" w:cs="Times New Roman"/>
      <w:color w:val="000000"/>
      <w:sz w:val="24"/>
      <w:szCs w:val="24"/>
    </w:rPr>
  </w:style>
  <w:style w:type="paragraph" w:styleId="Intestazione">
    <w:name w:val="header"/>
    <w:basedOn w:val="Normale"/>
    <w:link w:val="IntestazioneCarattere"/>
    <w:uiPriority w:val="99"/>
    <w:semiHidden/>
    <w:unhideWhenUsed/>
    <w:rsid w:val="00B266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2665D"/>
  </w:style>
  <w:style w:type="table" w:styleId="Grigliatabella">
    <w:name w:val="Table Grid"/>
    <w:basedOn w:val="Tabellanormale"/>
    <w:rsid w:val="00506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124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6841">
      <w:bodyDiv w:val="1"/>
      <w:marLeft w:val="0"/>
      <w:marRight w:val="0"/>
      <w:marTop w:val="0"/>
      <w:marBottom w:val="0"/>
      <w:divBdr>
        <w:top w:val="none" w:sz="0" w:space="0" w:color="auto"/>
        <w:left w:val="none" w:sz="0" w:space="0" w:color="auto"/>
        <w:bottom w:val="none" w:sz="0" w:space="0" w:color="auto"/>
        <w:right w:val="none" w:sz="0" w:space="0" w:color="auto"/>
      </w:divBdr>
    </w:div>
    <w:div w:id="414127268">
      <w:bodyDiv w:val="1"/>
      <w:marLeft w:val="0"/>
      <w:marRight w:val="0"/>
      <w:marTop w:val="0"/>
      <w:marBottom w:val="0"/>
      <w:divBdr>
        <w:top w:val="none" w:sz="0" w:space="0" w:color="auto"/>
        <w:left w:val="none" w:sz="0" w:space="0" w:color="auto"/>
        <w:bottom w:val="none" w:sz="0" w:space="0" w:color="auto"/>
        <w:right w:val="none" w:sz="0" w:space="0" w:color="auto"/>
      </w:divBdr>
    </w:div>
    <w:div w:id="1873809334">
      <w:bodyDiv w:val="1"/>
      <w:marLeft w:val="0"/>
      <w:marRight w:val="0"/>
      <w:marTop w:val="0"/>
      <w:marBottom w:val="0"/>
      <w:divBdr>
        <w:top w:val="none" w:sz="0" w:space="0" w:color="auto"/>
        <w:left w:val="none" w:sz="0" w:space="0" w:color="auto"/>
        <w:bottom w:val="none" w:sz="0" w:space="0" w:color="auto"/>
        <w:right w:val="none" w:sz="0" w:space="0" w:color="auto"/>
      </w:divBdr>
    </w:div>
    <w:div w:id="18875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ile:Flag_of_Europe.svg"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eogat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it-IT" sz="1400"/>
              <a:t>Progetti di ampliamento dell'offerta formativa 2019.20</a:t>
            </a:r>
          </a:p>
        </c:rich>
      </c:tx>
      <c:overlay val="0"/>
    </c:title>
    <c:autoTitleDeleted val="0"/>
    <c:plotArea>
      <c:layout/>
      <c:pieChart>
        <c:varyColors val="1"/>
        <c:ser>
          <c:idx val="0"/>
          <c:order val="0"/>
          <c:tx>
            <c:strRef>
              <c:f>Foglio1!$B$1</c:f>
              <c:strCache>
                <c:ptCount val="1"/>
                <c:pt idx="0">
                  <c:v>Vendite</c:v>
                </c:pt>
              </c:strCache>
            </c:strRef>
          </c:tx>
          <c:dLbls>
            <c:spPr>
              <a:noFill/>
              <a:ln>
                <a:noFill/>
              </a:ln>
              <a:effectLst/>
            </c:spPr>
            <c:txPr>
              <a:bodyPr/>
              <a:lstStyle/>
              <a:p>
                <a:pPr>
                  <a:defRPr b="1"/>
                </a:pPr>
                <a:endParaRPr lang="it-IT"/>
              </a:p>
            </c:txPr>
            <c:showLegendKey val="0"/>
            <c:showVal val="0"/>
            <c:showCatName val="0"/>
            <c:showSerName val="0"/>
            <c:showPercent val="1"/>
            <c:showBubbleSize val="0"/>
            <c:showLeaderLines val="0"/>
            <c:extLst>
              <c:ext xmlns:c15="http://schemas.microsoft.com/office/drawing/2012/chart" uri="{CE6537A1-D6FC-4f65-9D91-7224C49458BB}"/>
            </c:extLst>
          </c:dLbls>
          <c:cat>
            <c:strRef>
              <c:f>Foglio1!$A$2:$A$5</c:f>
              <c:strCache>
                <c:ptCount val="4"/>
                <c:pt idx="0">
                  <c:v>progetti previsti</c:v>
                </c:pt>
                <c:pt idx="1">
                  <c:v>progetti attivati</c:v>
                </c:pt>
                <c:pt idx="2">
                  <c:v>progetti svolti in parte</c:v>
                </c:pt>
                <c:pt idx="3">
                  <c:v>progetti conclusi</c:v>
                </c:pt>
              </c:strCache>
            </c:strRef>
          </c:cat>
          <c:val>
            <c:numRef>
              <c:f>Foglio1!$B$2:$B$5</c:f>
              <c:numCache>
                <c:formatCode>General</c:formatCode>
                <c:ptCount val="4"/>
                <c:pt idx="0">
                  <c:v>45</c:v>
                </c:pt>
                <c:pt idx="1">
                  <c:v>26</c:v>
                </c:pt>
                <c:pt idx="2">
                  <c:v>20</c:v>
                </c:pt>
                <c:pt idx="3">
                  <c:v>1.2</c:v>
                </c:pt>
              </c:numCache>
            </c:numRef>
          </c:val>
          <c:extLst>
            <c:ext xmlns:c16="http://schemas.microsoft.com/office/drawing/2014/chart" uri="{C3380CC4-5D6E-409C-BE32-E72D297353CC}">
              <c16:uniqueId val="{00000000-71DC-4D01-8887-47057059DA08}"/>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88AE-891D-4544-B01D-66149FFA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541</Words>
  <Characters>3086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Mantione</dc:creator>
  <cp:lastModifiedBy>User</cp:lastModifiedBy>
  <cp:revision>6</cp:revision>
  <cp:lastPrinted>2019-12-22T13:10:00Z</cp:lastPrinted>
  <dcterms:created xsi:type="dcterms:W3CDTF">2020-05-22T21:05:00Z</dcterms:created>
  <dcterms:modified xsi:type="dcterms:W3CDTF">2020-05-23T05:38:00Z</dcterms:modified>
</cp:coreProperties>
</file>